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3GPP TSG RAN WG1 Meeting AH 1801</w:t>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t xml:space="preserve">      R1-</w:t>
      </w:r>
      <w:r w:rsidR="00BC7C88">
        <w:rPr>
          <w:rFonts w:ascii="Arial" w:hAnsi="Arial" w:cs="Arial"/>
          <w:b/>
          <w:sz w:val="28"/>
          <w:szCs w:val="28"/>
        </w:rPr>
        <w:t>1800568</w:t>
      </w:r>
    </w:p>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Vancouver, Canada, January 22nd – 26th, 2018</w:t>
      </w:r>
    </w:p>
    <w:p w:rsidR="00BE6C2E" w:rsidRPr="000A64D8" w:rsidRDefault="00BE6C2E" w:rsidP="00BE6C2E">
      <w:pPr>
        <w:pStyle w:val="Footer"/>
        <w:jc w:val="both"/>
        <w:rPr>
          <w:noProof w:val="0"/>
        </w:rPr>
      </w:pPr>
    </w:p>
    <w:p w:rsidR="00BE6C2E" w:rsidRPr="004D3205" w:rsidRDefault="00BE6C2E" w:rsidP="00BE6C2E">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0" w:name="Source"/>
      <w:bookmarkEnd w:id="0"/>
      <w:r w:rsidR="006E71FE">
        <w:rPr>
          <w:rFonts w:ascii="Arial" w:hAnsi="Arial"/>
          <w:sz w:val="28"/>
          <w:szCs w:val="28"/>
        </w:rPr>
        <w:t>7.2.2.5</w:t>
      </w:r>
      <w:r w:rsidRPr="004D3205">
        <w:rPr>
          <w:rFonts w:ascii="Arial" w:hAnsi="Arial"/>
          <w:sz w:val="28"/>
          <w:szCs w:val="28"/>
        </w:rPr>
        <w:tab/>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F4509C" w:rsidRPr="00F4509C">
        <w:rPr>
          <w:rFonts w:ascii="Arial" w:hAnsi="Arial" w:cs="Arial"/>
          <w:sz w:val="28"/>
          <w:szCs w:val="16"/>
        </w:rPr>
        <w:t>Remaining issues in CQI and MCS</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B35C08" w:rsidRDefault="008C7323" w:rsidP="00157AA0">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7AA0">
        <w:rPr>
          <w:sz w:val="24"/>
          <w:szCs w:val="24"/>
        </w:rPr>
        <w:t xml:space="preserve"> Similar to LTE, closed loop techniques for indicating channel quality and modulation and coding scheme for dat</w:t>
      </w:r>
      <w:r w:rsidR="00F745DA">
        <w:rPr>
          <w:sz w:val="24"/>
          <w:szCs w:val="24"/>
        </w:rPr>
        <w:t xml:space="preserve">a transmission are used for NR. </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EC425A">
        <w:rPr>
          <w:rFonts w:eastAsia="MS Mincho"/>
          <w:sz w:val="24"/>
          <w:szCs w:val="24"/>
          <w:lang w:eastAsia="ja-JP"/>
        </w:rPr>
        <w:t xml:space="preserve">the remaining issues of </w:t>
      </w:r>
      <w:r w:rsidR="00157AA0">
        <w:rPr>
          <w:rFonts w:eastAsia="MS Mincho"/>
          <w:sz w:val="24"/>
          <w:szCs w:val="24"/>
          <w:lang w:eastAsia="ja-JP"/>
        </w:rPr>
        <w:t xml:space="preserve">CQI and MCS indication for NR. </w:t>
      </w:r>
    </w:p>
    <w:p w:rsidR="00DB491C" w:rsidRDefault="00DB491C" w:rsidP="009C0834">
      <w:pPr>
        <w:pStyle w:val="Heading1"/>
      </w:pPr>
      <w:bookmarkStart w:id="1" w:name="_Ref378529477"/>
      <w:r>
        <w:t>Text Proposal Regarding Channel Quality Indicator (CQI) in TS 38.214</w:t>
      </w:r>
    </w:p>
    <w:p w:rsidR="004721FB" w:rsidRDefault="009A70F5" w:rsidP="004721FB">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Regarding the </w:t>
      </w:r>
      <w:proofErr w:type="spellStart"/>
      <w:r>
        <w:rPr>
          <w:rFonts w:eastAsia="MS Mincho"/>
          <w:sz w:val="24"/>
          <w:szCs w:val="24"/>
          <w:lang w:eastAsia="ja-JP"/>
        </w:rPr>
        <w:t>subband</w:t>
      </w:r>
      <w:proofErr w:type="spellEnd"/>
      <w:r w:rsidR="004721FB">
        <w:rPr>
          <w:rFonts w:eastAsia="MS Mincho"/>
          <w:sz w:val="24"/>
          <w:szCs w:val="24"/>
          <w:lang w:eastAsia="ja-JP"/>
        </w:rPr>
        <w:t xml:space="preserve"> CQI</w:t>
      </w:r>
      <w:r w:rsidR="00711AFE">
        <w:rPr>
          <w:rFonts w:eastAsia="MS Mincho"/>
          <w:sz w:val="24"/>
          <w:szCs w:val="24"/>
          <w:lang w:eastAsia="ja-JP"/>
        </w:rPr>
        <w:t>, it</w:t>
      </w:r>
      <w:r w:rsidR="004721FB">
        <w:rPr>
          <w:rFonts w:eastAsia="MS Mincho"/>
          <w:sz w:val="24"/>
          <w:szCs w:val="24"/>
          <w:lang w:eastAsia="ja-JP"/>
        </w:rPr>
        <w:t xml:space="preserve"> was agreed to support differential CQI of 2 bits. The following text was captured in [1]. </w:t>
      </w:r>
    </w:p>
    <w:p w:rsidR="009A70F5" w:rsidRPr="00E11C1C" w:rsidRDefault="009A70F5" w:rsidP="004721FB">
      <w:pPr>
        <w:overflowPunct/>
        <w:autoSpaceDE/>
        <w:autoSpaceDN/>
        <w:adjustRightInd/>
        <w:spacing w:after="0"/>
        <w:jc w:val="both"/>
        <w:textAlignment w:val="auto"/>
        <w:rPr>
          <w:rFonts w:eastAsia="MS Mincho"/>
          <w:sz w:val="24"/>
          <w:szCs w:val="24"/>
          <w:lang w:eastAsia="ja-JP"/>
        </w:rPr>
      </w:pPr>
    </w:p>
    <w:tbl>
      <w:tblPr>
        <w:tblStyle w:val="TableGrid"/>
        <w:tblW w:w="0" w:type="auto"/>
        <w:tblLook w:val="04A0" w:firstRow="1" w:lastRow="0" w:firstColumn="1" w:lastColumn="0" w:noHBand="0" w:noVBand="1"/>
      </w:tblPr>
      <w:tblGrid>
        <w:gridCol w:w="9962"/>
      </w:tblGrid>
      <w:tr w:rsidR="009A70F5" w:rsidTr="009A70F5">
        <w:tc>
          <w:tcPr>
            <w:tcW w:w="9962" w:type="dxa"/>
          </w:tcPr>
          <w:p w:rsidR="009A70F5" w:rsidRPr="0048482F" w:rsidRDefault="009A70F5" w:rsidP="009A70F5">
            <w:r w:rsidRPr="0048482F">
              <w:t xml:space="preserve">For each sub-band index </w:t>
            </w:r>
            <w:r w:rsidRPr="0048482F">
              <w:rPr>
                <w:i/>
              </w:rPr>
              <w:t>s,</w:t>
            </w:r>
            <w:r w:rsidRPr="0048482F">
              <w:t xml:space="preserve"> a 2-bit sub-band differential CQI is defined as:</w:t>
            </w:r>
          </w:p>
          <w:p w:rsidR="009A70F5" w:rsidRPr="0048482F" w:rsidRDefault="009A70F5" w:rsidP="009A70F5">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rsidR="009A70F5" w:rsidRPr="0048482F" w:rsidRDefault="009A70F5" w:rsidP="009A70F5">
            <w:r w:rsidRPr="0048482F">
              <w:t>The mapping from the 2-bit wideband differential CQI values to the offset level is shown in Table 5.2.2.1-1</w:t>
            </w:r>
          </w:p>
          <w:p w:rsidR="009A70F5" w:rsidRPr="0048482F" w:rsidRDefault="009A70F5" w:rsidP="009A70F5">
            <w:pPr>
              <w:pStyle w:val="TH"/>
              <w:rPr>
                <w:color w:val="000000"/>
              </w:rPr>
            </w:pPr>
            <w:r w:rsidRPr="0048482F">
              <w:rPr>
                <w:color w:val="000000"/>
              </w:rPr>
              <w:t>Table 5.2.2.1-1: Mapping spatial 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Spatial differential CQI value</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Offset level</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0</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0</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1</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1</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2</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3</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rFonts w:cs="Times"/>
                      <w:color w:val="000000"/>
                      <w:sz w:val="20"/>
                    </w:rPr>
                    <w:t>≤</w:t>
                  </w:r>
                  <w:r w:rsidRPr="0048482F">
                    <w:rPr>
                      <w:color w:val="000000"/>
                      <w:sz w:val="20"/>
                    </w:rPr>
                    <w:t>-1</w:t>
                  </w:r>
                </w:p>
              </w:tc>
            </w:tr>
          </w:tbl>
          <w:p w:rsidR="009A70F5" w:rsidRDefault="009A70F5" w:rsidP="00DB491C">
            <w:pPr>
              <w:rPr>
                <w:lang w:val="en-GB"/>
              </w:rPr>
            </w:pPr>
          </w:p>
        </w:tc>
      </w:tr>
    </w:tbl>
    <w:p w:rsidR="00DB491C" w:rsidRDefault="00DB491C" w:rsidP="00DB491C">
      <w:pPr>
        <w:rPr>
          <w:lang w:val="en-GB"/>
        </w:rPr>
      </w:pPr>
    </w:p>
    <w:p w:rsidR="009A70F5" w:rsidRDefault="009A70F5" w:rsidP="00DB491C">
      <w:pPr>
        <w:rPr>
          <w:rFonts w:eastAsia="MS Mincho"/>
          <w:sz w:val="24"/>
          <w:szCs w:val="24"/>
          <w:lang w:eastAsia="ja-JP"/>
        </w:rPr>
      </w:pPr>
      <w:r>
        <w:rPr>
          <w:rFonts w:eastAsia="MS Mincho"/>
          <w:sz w:val="24"/>
          <w:szCs w:val="24"/>
          <w:lang w:eastAsia="ja-JP"/>
        </w:rPr>
        <w:t xml:space="preserve">However, we have not agreed on any spatial differential CQI. We feel that </w:t>
      </w:r>
      <w:r>
        <w:rPr>
          <w:rFonts w:eastAsia="MS Mincho"/>
          <w:sz w:val="24"/>
          <w:szCs w:val="24"/>
          <w:lang w:eastAsia="ja-JP"/>
        </w:rPr>
        <w:t>spatial differential CQI</w:t>
      </w:r>
      <w:r>
        <w:rPr>
          <w:rFonts w:eastAsia="MS Mincho"/>
          <w:sz w:val="24"/>
          <w:szCs w:val="24"/>
          <w:lang w:eastAsia="ja-JP"/>
        </w:rPr>
        <w:t xml:space="preserve"> should be replaced with sub-band differential CQI as below</w:t>
      </w:r>
    </w:p>
    <w:p w:rsidR="009A70F5" w:rsidRDefault="009A70F5" w:rsidP="00DB491C">
      <w:pPr>
        <w:rPr>
          <w:lang w:val="en-GB"/>
        </w:rPr>
      </w:pPr>
    </w:p>
    <w:tbl>
      <w:tblPr>
        <w:tblStyle w:val="TableGrid"/>
        <w:tblW w:w="0" w:type="auto"/>
        <w:tblLook w:val="04A0" w:firstRow="1" w:lastRow="0" w:firstColumn="1" w:lastColumn="0" w:noHBand="0" w:noVBand="1"/>
      </w:tblPr>
      <w:tblGrid>
        <w:gridCol w:w="9962"/>
      </w:tblGrid>
      <w:tr w:rsidR="009A70F5" w:rsidTr="009A70F5">
        <w:tc>
          <w:tcPr>
            <w:tcW w:w="9962" w:type="dxa"/>
          </w:tcPr>
          <w:p w:rsidR="009A70F5" w:rsidRPr="0048482F" w:rsidRDefault="009A70F5" w:rsidP="009A70F5">
            <w:r w:rsidRPr="0048482F">
              <w:t xml:space="preserve">For each sub-band index </w:t>
            </w:r>
            <w:r w:rsidRPr="0048482F">
              <w:rPr>
                <w:i/>
              </w:rPr>
              <w:t>s,</w:t>
            </w:r>
            <w:r w:rsidRPr="0048482F">
              <w:t xml:space="preserve"> a 2-bit sub-band differential CQI is defined as:</w:t>
            </w:r>
          </w:p>
          <w:p w:rsidR="009A70F5" w:rsidRPr="0048482F" w:rsidRDefault="009A70F5" w:rsidP="009A70F5">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rsidR="009A70F5" w:rsidRPr="0048482F" w:rsidRDefault="009A70F5" w:rsidP="009A70F5">
            <w:r w:rsidRPr="0048482F">
              <w:t>The mapping from the 2-bit wideband differential CQI values to the offset level is shown in Table 5.2.2.1-1</w:t>
            </w:r>
          </w:p>
          <w:p w:rsidR="009A70F5" w:rsidRPr="0048482F" w:rsidRDefault="009A70F5" w:rsidP="009A70F5">
            <w:pPr>
              <w:pStyle w:val="TH"/>
              <w:rPr>
                <w:color w:val="000000"/>
              </w:rPr>
            </w:pPr>
            <w:r w:rsidRPr="0048482F">
              <w:rPr>
                <w:color w:val="000000"/>
              </w:rPr>
              <w:lastRenderedPageBreak/>
              <w:t xml:space="preserve">Table 5.2.2.1-1: Mapping </w:t>
            </w:r>
            <w:r w:rsidRPr="00F971ED">
              <w:rPr>
                <w:strike/>
                <w:color w:val="000000"/>
              </w:rPr>
              <w:t>spatial</w:t>
            </w:r>
            <w:r w:rsidRPr="0048482F">
              <w:rPr>
                <w:color w:val="000000"/>
              </w:rPr>
              <w:t xml:space="preserve"> </w:t>
            </w:r>
            <w:r w:rsidRPr="00F971ED">
              <w:rPr>
                <w:color w:val="FF0000"/>
              </w:rPr>
              <w:t>sub-band</w:t>
            </w:r>
            <w:r w:rsidRPr="00F971ED">
              <w:rPr>
                <w:color w:val="FF0000"/>
                <w:sz w:val="16"/>
              </w:rPr>
              <w:t xml:space="preserve">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F971ED">
                    <w:rPr>
                      <w:strike/>
                      <w:color w:val="000000"/>
                    </w:rPr>
                    <w:t>spatial</w:t>
                  </w:r>
                  <w:r w:rsidRPr="0048482F">
                    <w:rPr>
                      <w:color w:val="000000"/>
                    </w:rPr>
                    <w:t xml:space="preserve"> </w:t>
                  </w:r>
                  <w:r w:rsidRPr="00F971ED">
                    <w:rPr>
                      <w:color w:val="FF0000"/>
                      <w:sz w:val="20"/>
                    </w:rPr>
                    <w:t>sub-band</w:t>
                  </w:r>
                  <w:r w:rsidRPr="00F971ED">
                    <w:rPr>
                      <w:color w:val="FF0000"/>
                      <w:sz w:val="16"/>
                    </w:rPr>
                    <w:t xml:space="preserve"> </w:t>
                  </w:r>
                  <w:r w:rsidRPr="0048482F">
                    <w:rPr>
                      <w:color w:val="000000"/>
                      <w:sz w:val="20"/>
                    </w:rPr>
                    <w:t>differential CQI value</w:t>
                  </w:r>
                </w:p>
              </w:tc>
              <w:tc>
                <w:tcPr>
                  <w:tcW w:w="3118" w:type="dxa"/>
                  <w:shd w:val="clear" w:color="auto" w:fill="auto"/>
                </w:tcPr>
                <w:p w:rsidR="009A70F5" w:rsidRPr="0048482F" w:rsidRDefault="009A70F5" w:rsidP="009A70F5">
                  <w:pPr>
                    <w:pStyle w:val="text0"/>
                    <w:spacing w:after="0"/>
                    <w:jc w:val="center"/>
                    <w:rPr>
                      <w:color w:val="000000"/>
                      <w:sz w:val="20"/>
                    </w:rPr>
                  </w:pPr>
                  <w:r w:rsidRPr="00F971ED">
                    <w:rPr>
                      <w:color w:val="FF0000"/>
                      <w:sz w:val="20"/>
                    </w:rPr>
                    <w:t>sub-band</w:t>
                  </w:r>
                  <w:r w:rsidRPr="00F971ED">
                    <w:rPr>
                      <w:color w:val="FF0000"/>
                      <w:sz w:val="16"/>
                    </w:rPr>
                    <w:t xml:space="preserve"> </w:t>
                  </w:r>
                  <w:r w:rsidRPr="0048482F">
                    <w:rPr>
                      <w:color w:val="000000"/>
                      <w:sz w:val="20"/>
                    </w:rPr>
                    <w:t>Offset level</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0</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0</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1</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1</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2</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9A70F5" w:rsidRPr="0048482F" w:rsidTr="00B57F6C">
              <w:tc>
                <w:tcPr>
                  <w:tcW w:w="3260" w:type="dxa"/>
                  <w:shd w:val="clear" w:color="auto" w:fill="auto"/>
                </w:tcPr>
                <w:p w:rsidR="009A70F5" w:rsidRPr="0048482F" w:rsidRDefault="009A70F5" w:rsidP="009A70F5">
                  <w:pPr>
                    <w:pStyle w:val="text0"/>
                    <w:spacing w:after="0"/>
                    <w:jc w:val="center"/>
                    <w:rPr>
                      <w:color w:val="000000"/>
                      <w:sz w:val="20"/>
                    </w:rPr>
                  </w:pPr>
                  <w:r w:rsidRPr="0048482F">
                    <w:rPr>
                      <w:color w:val="000000"/>
                      <w:sz w:val="20"/>
                    </w:rPr>
                    <w:t>3</w:t>
                  </w:r>
                </w:p>
              </w:tc>
              <w:tc>
                <w:tcPr>
                  <w:tcW w:w="3118" w:type="dxa"/>
                  <w:shd w:val="clear" w:color="auto" w:fill="auto"/>
                </w:tcPr>
                <w:p w:rsidR="009A70F5" w:rsidRPr="0048482F" w:rsidRDefault="009A70F5" w:rsidP="009A70F5">
                  <w:pPr>
                    <w:pStyle w:val="text0"/>
                    <w:spacing w:after="0"/>
                    <w:jc w:val="center"/>
                    <w:rPr>
                      <w:color w:val="000000"/>
                      <w:sz w:val="20"/>
                    </w:rPr>
                  </w:pPr>
                  <w:r w:rsidRPr="0048482F">
                    <w:rPr>
                      <w:rFonts w:cs="Times"/>
                      <w:color w:val="000000"/>
                      <w:sz w:val="20"/>
                    </w:rPr>
                    <w:t>≤</w:t>
                  </w:r>
                  <w:r w:rsidRPr="0048482F">
                    <w:rPr>
                      <w:color w:val="000000"/>
                      <w:sz w:val="20"/>
                    </w:rPr>
                    <w:t>-1</w:t>
                  </w:r>
                </w:p>
              </w:tc>
            </w:tr>
          </w:tbl>
          <w:p w:rsidR="009A70F5" w:rsidRDefault="009A70F5" w:rsidP="00DB491C">
            <w:pPr>
              <w:rPr>
                <w:lang w:val="en-GB"/>
              </w:rPr>
            </w:pPr>
          </w:p>
        </w:tc>
      </w:tr>
    </w:tbl>
    <w:p w:rsidR="00DB491C" w:rsidRPr="00DB491C" w:rsidRDefault="00DB491C" w:rsidP="00DB491C">
      <w:pPr>
        <w:rPr>
          <w:lang w:val="en-GB"/>
        </w:rPr>
      </w:pPr>
    </w:p>
    <w:p w:rsidR="00D234EA" w:rsidRDefault="00D234EA" w:rsidP="00D234EA">
      <w:pPr>
        <w:pStyle w:val="Heading1"/>
      </w:pPr>
      <w:bookmarkStart w:id="2" w:name="_GoBack"/>
      <w:bookmarkEnd w:id="2"/>
      <w:r>
        <w:t>Adaptive CQI/MCS Pay Load for NR</w:t>
      </w:r>
    </w:p>
    <w:p w:rsidR="00D234EA" w:rsidRPr="00753837" w:rsidRDefault="00D234EA" w:rsidP="00D234EA">
      <w:pPr>
        <w:pStyle w:val="Heading3"/>
        <w:keepLines w:val="0"/>
        <w:numPr>
          <w:ilvl w:val="2"/>
          <w:numId w:val="0"/>
        </w:numPr>
        <w:tabs>
          <w:tab w:val="num" w:pos="851"/>
        </w:tabs>
        <w:spacing w:before="480"/>
        <w:jc w:val="both"/>
        <w:rPr>
          <w:rFonts w:asciiTheme="minorHAnsi" w:hAnsiTheme="minorHAnsi"/>
          <w:b/>
          <w:sz w:val="24"/>
        </w:rPr>
      </w:pPr>
      <w:r>
        <w:rPr>
          <w:rFonts w:asciiTheme="minorHAnsi" w:hAnsiTheme="minorHAnsi"/>
          <w:color w:val="000000" w:themeColor="text1"/>
          <w:sz w:val="24"/>
        </w:rPr>
        <w:t>Figure 1</w:t>
      </w:r>
      <w:r w:rsidRPr="00753837">
        <w:rPr>
          <w:rFonts w:asciiTheme="minorHAnsi" w:hAnsiTheme="minorHAnsi"/>
          <w:color w:val="000000" w:themeColor="text1"/>
          <w:sz w:val="24"/>
        </w:rPr>
        <w:t xml:space="preserve"> shows the typical message sequence chart for downlink data transfer in 5G systems. From the pilot or reference signals, the UE computes the channel estimates then computes the</w:t>
      </w:r>
      <w:r>
        <w:rPr>
          <w:rFonts w:asciiTheme="minorHAnsi" w:hAnsiTheme="minorHAnsi"/>
          <w:color w:val="000000" w:themeColor="text1"/>
          <w:sz w:val="24"/>
        </w:rPr>
        <w:t xml:space="preserve"> </w:t>
      </w:r>
      <w:r w:rsidRPr="00753837">
        <w:rPr>
          <w:rFonts w:asciiTheme="minorHAnsi" w:hAnsiTheme="minorHAnsi"/>
          <w:color w:val="000000" w:themeColor="text1"/>
          <w:sz w:val="24"/>
        </w:rPr>
        <w:t xml:space="preserve">parameters needed for CSI reporting. The CSI report consists of for example channel quality indicator (CQI), precoding matrix index (PMI), rank information (RI) etc. </w:t>
      </w:r>
    </w:p>
    <w:p w:rsidR="00D234EA" w:rsidRDefault="00D234EA" w:rsidP="00D234EA">
      <w:pPr>
        <w:pStyle w:val="BodyText"/>
        <w:keepNext/>
        <w:ind w:left="360"/>
      </w:pPr>
      <w:r>
        <w:rPr>
          <w:noProof/>
          <w:sz w:val="28"/>
          <w:szCs w:val="28"/>
          <w:lang w:val="en-US" w:eastAsia="en-US"/>
        </w:rPr>
        <mc:AlternateContent>
          <mc:Choice Requires="wpc">
            <w:drawing>
              <wp:inline distT="0" distB="0" distL="0" distR="0" wp14:anchorId="025A9EA1" wp14:editId="69844A5F">
                <wp:extent cx="4242816" cy="3079698"/>
                <wp:effectExtent l="0" t="0" r="0" b="0"/>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A52042" w:rsidRDefault="001F7D4A" w:rsidP="00D234EA">
                              <w:pPr>
                                <w:jc w:val="center"/>
                                <w:rPr>
                                  <w:b/>
                                  <w:sz w:val="16"/>
                                  <w:szCs w:val="16"/>
                                </w:rPr>
                              </w:pPr>
                              <w:r>
                                <w:rPr>
                                  <w:b/>
                                  <w:sz w:val="16"/>
                                  <w:szCs w:val="16"/>
                                </w:rPr>
                                <w:t xml:space="preserve">Downlink Control channel </w:t>
                              </w:r>
                            </w:p>
                          </w:txbxContent>
                        </wps:txbx>
                        <wps:bodyPr rot="0" vert="horz" wrap="square" lIns="0" tIns="0" rIns="0" bIns="0" anchor="t" anchorCtr="0" upright="1">
                          <a:noAutofit/>
                        </wps:bodyPr>
                      </wps:wsp>
                      <wps:wsp>
                        <wps:cNvPr id="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rPr>
                                  <w:b/>
                                  <w:sz w:val="16"/>
                                  <w:szCs w:val="16"/>
                                  <w:lang w:val="sv-SE"/>
                                </w:rPr>
                              </w:pPr>
                              <w:r w:rsidRPr="006116CB">
                                <w:rPr>
                                  <w:b/>
                                  <w:sz w:val="16"/>
                                  <w:szCs w:val="16"/>
                                  <w:lang w:val="sv-SE"/>
                                </w:rPr>
                                <w:t xml:space="preserve"> </w:t>
                              </w:r>
                              <w:r w:rsidRPr="006116CB">
                                <w:rPr>
                                  <w:b/>
                                  <w:sz w:val="16"/>
                                  <w:szCs w:val="16"/>
                                  <w:lang w:val="sv-SE"/>
                                </w:rPr>
                                <w:t>Feedback Channel (CSI)</w:t>
                              </w:r>
                            </w:p>
                          </w:txbxContent>
                        </wps:txbx>
                        <wps:bodyPr rot="0" vert="horz" wrap="square" lIns="91440" tIns="45720" rIns="91440" bIns="45720" anchor="t" anchorCtr="0" upright="1">
                          <a:noAutofit/>
                        </wps:bodyPr>
                      </wps:wsp>
                      <wps:wsp>
                        <wps:cNvPr id="4"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5"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7"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8"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9"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24"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25"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7"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8"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D4A" w:rsidRPr="006116CB" w:rsidRDefault="001F7D4A" w:rsidP="00D234EA">
                              <w:pPr>
                                <w:jc w:val="center"/>
                                <w:rPr>
                                  <w:b/>
                                  <w:sz w:val="16"/>
                                  <w:szCs w:val="16"/>
                                  <w:lang w:val="sv-SE"/>
                                </w:rPr>
                              </w:pPr>
                              <w:r w:rsidRPr="006116CB">
                                <w:rPr>
                                  <w:b/>
                                  <w:sz w:val="16"/>
                                  <w:szCs w:val="16"/>
                                  <w:lang w:val="sv-SE"/>
                                </w:rPr>
                                <w:t xml:space="preserve">Data </w:t>
                              </w:r>
                              <w:r w:rsidRPr="006116CB">
                                <w:rPr>
                                  <w:b/>
                                  <w:sz w:val="16"/>
                                  <w:szCs w:val="16"/>
                                  <w:lang w:val="sv-SE"/>
                                </w:rPr>
                                <w:t>Traffic Channel (PDSCH)</w:t>
                              </w:r>
                            </w:p>
                          </w:txbxContent>
                        </wps:txbx>
                        <wps:bodyPr rot="0" vert="horz" wrap="square" lIns="0" tIns="0" rIns="0" bIns="0" anchor="t" anchorCtr="0" upright="1">
                          <a:noAutofit/>
                        </wps:bodyPr>
                      </wps:wsp>
                      <wps:wsp>
                        <wps:cNvPr id="29"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0"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1"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1F7D4A" w:rsidRPr="006116CB" w:rsidRDefault="001F7D4A" w:rsidP="00D234EA">
                              <w:pPr>
                                <w:jc w:val="center"/>
                                <w:rPr>
                                  <w:b/>
                                  <w:sz w:val="16"/>
                                  <w:szCs w:val="16"/>
                                </w:rPr>
                              </w:pPr>
                              <w:r w:rsidRPr="006116CB">
                                <w:rPr>
                                  <w:b/>
                                  <w:sz w:val="16"/>
                                  <w:szCs w:val="16"/>
                                </w:rPr>
                                <w:t>Determine the parameters for DL transmission (MCS, Power, PRBs, etc.) based on the CSI</w:t>
                              </w:r>
                            </w:p>
                          </w:txbxContent>
                        </wps:txbx>
                        <wps:bodyPr rot="0" vert="horz" wrap="square" lIns="91440" tIns="45720" rIns="91440" bIns="45720" anchor="t" anchorCtr="0" upright="1">
                          <a:noAutofit/>
                        </wps:bodyPr>
                      </wps:wsp>
                    </wpc:wpc>
                  </a:graphicData>
                </a:graphic>
              </wp:inline>
            </w:drawing>
          </mc:Choice>
          <mc:Fallback>
            <w:pict>
              <v:group w14:anchorId="025A9EA1" id="Canvas 32"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W3Ob4A&#10;AADaAAAADwAAAGRycy9kb3ducmV2LnhtbERPy6rCMBDdX/AfwghuLprqQqTXKD7BhS70iuuhGdti&#10;MylJtPXvjSC4Gg7nOdN5ayrxIOdLywqGgwQEcWZ1ybmC8/+2PwHhA7LGyjIpeJKH+azzM8VU24aP&#10;9DiFXMQQ9ikqKEKoUyl9VpBBP7A1ceSu1hkMEbpcaodNDDeVHCXJWBosOTYUWNOqoOx2uhsF47W7&#10;N0de/a7Pmz0e6nx0WT4vSvW67eIPRKA2fMUf907H+fB+5X3l7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7ltzm+AAAA2gAAAA8AAAAAAAAAAAAAAAAAmAIAAGRycy9kb3ducmV2&#10;LnhtbFBLBQYAAAAABAAEAPUAAACDAwAAAAA=&#10;" stroked="f">
                  <v:textbox inset="0,0,0,0">
                    <w:txbxContent>
                      <w:p w:rsidR="001F7D4A" w:rsidRPr="00A52042" w:rsidRDefault="001F7D4A" w:rsidP="00D234EA">
                        <w:pPr>
                          <w:jc w:val="center"/>
                          <w:rPr>
                            <w:b/>
                            <w:sz w:val="16"/>
                            <w:szCs w:val="16"/>
                          </w:rPr>
                        </w:pPr>
                        <w:r>
                          <w:rPr>
                            <w:b/>
                            <w:sz w:val="16"/>
                            <w:szCs w:val="16"/>
                          </w:rPr>
                          <w:t xml:space="preserve">Downlink Control channel </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1F7D4A" w:rsidRPr="006116CB" w:rsidRDefault="001F7D4A" w:rsidP="00D234EA">
                        <w:pPr>
                          <w:rPr>
                            <w:b/>
                            <w:sz w:val="16"/>
                            <w:szCs w:val="16"/>
                            <w:lang w:val="sv-SE"/>
                          </w:rPr>
                        </w:pPr>
                        <w:r w:rsidRPr="006116CB">
                          <w:rPr>
                            <w:b/>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1F7D4A" w:rsidRPr="006116CB" w:rsidRDefault="001F7D4A" w:rsidP="00D234EA">
                        <w:pPr>
                          <w:jc w:val="center"/>
                          <w:rPr>
                            <w:b/>
                            <w:sz w:val="16"/>
                            <w:szCs w:val="16"/>
                          </w:rPr>
                        </w:pPr>
                        <w:r w:rsidRPr="006116CB">
                          <w:rPr>
                            <w:b/>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Xp9sUAAADaAAAADwAAAGRycy9kb3ducmV2LnhtbESPQWvCQBSE70L/w/IK3nRjQ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Xp9sUAAADaAAAADwAAAAAAAAAA&#10;AAAAAAChAgAAZHJzL2Rvd25yZXYueG1sUEsFBgAAAAAEAAQA+QAAAJMDA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SGsUAAADaAAAADwAAAGRycy9kb3ducmV2LnhtbESPQWvCQBSE70L/w/IK3nRjDyqpq4i0&#10;oAiKRtp6e2SfSTD7Ns2uJvbXdwXB4zAz3zCTWWtKcaXaFZYVDPoRCOLU6oIzBYfkszcG4TyyxtIy&#10;KbiRg9n0pTPBWNuGd3Td+0wECLsYFeTeV7GULs3JoOvbijh4J1sb9EHWmdQ1NgFuSvkWRUNpsOCw&#10;kGNFi5zS8/5iFDRfv8lmHa2+9c9Hsjweb3/bcpAo1X1t5+8gPLX+GX60l1rBCO5Xwg2Q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vSGsUAAADaAAAADwAAAAAAAAAA&#10;AAAAAAChAgAAZHJzL2Rvd25yZXYueG1sUEsFBgAAAAAEAAQA+QAAAJMDA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ZPr8AAADaAAAADwAAAGRycy9kb3ducmV2LnhtbERPz2vCMBS+D/wfwhN2W1N1DK1GKUKh&#10;7jb10OOjeTbF5qU0mbb/vTkMdvz4fu8Oo+3EgwbfOlawSFIQxLXTLTcKrpfiYw3CB2SNnWNSMJGH&#10;w372tsNMuyf/0OMcGhFD2GeowITQZ1L62pBFn7ieOHI3N1gMEQ6N1AM+Y7jt5DJNv6TFlmODwZ6O&#10;hur7+dcqOJm8WOVlVd2/qZ1WdlMs5edCqff5mG9BBBrDv/jPXWoFcWu8Em+A3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yfZPr8AAADaAAAADwAAAAAAAAAAAAAAAACh&#10;AgAAZHJzL2Rvd25yZXYueG1sUEsFBgAAAAAEAAQA+QAAAI0DA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rMMA&#10;AADaAAAADwAAAGRycy9kb3ducmV2LnhtbESP0WrCQBRE34X+w3ILvkizqWhpU1dJC4L6IG3qB1yy&#10;t0lo9m7Y3Sbx711B8HGYmTPMajOaVvTkfGNZwXOSgiAurW64UnD62T69gvABWWNrmRScycNm/TBZ&#10;YabtwN/UF6ESEcI+QwV1CF0mpS9rMugT2xFH79c6gyFKV0ntcIhw08p5mr5Igw3HhRo7+qyp/Cv+&#10;jYLjUh6WjCef62Ix8x991eyLL6Wmj2P+DiLQGO7hW3unFbzB9Uq8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TrMMAAADaAAAADwAAAAAAAAAAAAAAAACYAgAAZHJzL2Rv&#10;d25yZXYueG1sUEsFBgAAAAAEAAQA9QAAAIgDAAAAAA==&#10;" fillcolor="white [3201]" strokecolor="black [3200]" strokeweight="1pt">
                  <v:textbox>
                    <w:txbxContent>
                      <w:p w:rsidR="001F7D4A" w:rsidRPr="006116CB" w:rsidRDefault="001F7D4A" w:rsidP="00D234E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FUpcEA&#10;AADbAAAADwAAAGRycy9kb3ducmV2LnhtbESP0YrCMBRE3wX/IVzBF1lTRWXpGkUFQX0QrX7Apbnb&#10;Fpub0sRa/94Igo/DzJxh5svWlKKh2hWWFYyGEQji1OqCMwXXy/bnF4TzyBpLy6TgSQ6Wi25njrG2&#10;Dz5Tk/hMBAi7GBXk3lexlC7NyaAb2oo4eP+2NuiDrDOpa3wEuCnlOIpm0mDBYSHHijY5pbfkbhQc&#10;p/IwZby6lU4mA7dusmKfnJTq99rVHwhPrf+GP+2dVjCewPtL+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BVKXBAAAA2wAAAA8AAAAAAAAAAAAAAAAAmAIAAGRycy9kb3du&#10;cmV2LnhtbFBLBQYAAAAABAAEAPUAAACGAwAAAAA=&#10;" fillcolor="white [3201]" strokecolor="black [3200]" strokeweight="1pt">
                  <v:textbox>
                    <w:txbxContent>
                      <w:p w:rsidR="001F7D4A" w:rsidRPr="006116CB" w:rsidRDefault="001F7D4A" w:rsidP="00D234EA">
                        <w:pPr>
                          <w:rPr>
                            <w:b/>
                            <w:sz w:val="16"/>
                            <w:szCs w:val="16"/>
                            <w:lang w:val="sv-SE"/>
                          </w:rPr>
                        </w:pPr>
                        <w:r w:rsidRPr="006116CB">
                          <w:rPr>
                            <w:b/>
                            <w:sz w:val="16"/>
                            <w:szCs w:val="16"/>
                            <w:lang w:val="sv-SE"/>
                          </w:rPr>
                          <w:t>UE</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Qt8UAAADbAAAADwAAAGRycy9kb3ducmV2LnhtbESPQWvCQBSE70L/w/IK3nRTQU1T1xCk&#10;Yg6CaHvp7ZF9zabNvg3ZrUn/fVcQehxm5htmk4+2FVfqfeNYwdM8AUFcOd1wreD9bT9LQfiArLF1&#10;TAp+yUO+fZhsMNNu4DNdL6EWEcI+QwUmhC6T0leGLPq564ij9+l6iyHKvpa6xyHCbSsXSbKSFhuO&#10;CwY72hmqvi8/VsGpKJ+P3SDXh1X9+sVlej597IxS08exeAERaAz/4Xu71AoWS7h9i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Qt8UAAADbAAAADwAAAAAAAAAA&#10;AAAAAAChAgAAZHJzL2Rvd25yZXYueG1sUEsFBgAAAAAEAAQA+QAAAJMDA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T8IAAADbAAAADwAAAGRycy9kb3ducmV2LnhtbESPT4vCMBTE78J+h/AW9qapVXS3a5Qi&#10;FNSbfw4eH83bpti8lCZq/fYbQfA4zMxvmMWqt424UedrxwrGowQEcel0zZWC07EYfoPwAVlj45gU&#10;PMjDavkxWGCm3Z33dDuESkQI+wwVmBDaTEpfGrLoR64ljt6f6yyGKLtK6g7vEW4bmSbJTFqsOS4Y&#10;bGltqLwcrlbB1uTFJN+cz5cd1Y+J/SlSOR0r9fXZ578gAvXhHX61N1pBOof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RT8IAAADbAAAADwAAAAAAAAAAAAAA&#10;AAChAgAAZHJzL2Rvd25yZXYueG1sUEsFBgAAAAAEAAQA+QAAAJADA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1F7D4A" w:rsidRPr="006116CB" w:rsidRDefault="001F7D4A" w:rsidP="00D234EA">
                        <w:pPr>
                          <w:jc w:val="center"/>
                          <w:rPr>
                            <w:b/>
                            <w:sz w:val="16"/>
                            <w:szCs w:val="16"/>
                            <w:lang w:val="sv-SE"/>
                          </w:rPr>
                        </w:pPr>
                        <w:r w:rsidRPr="006116CB">
                          <w:rPr>
                            <w:b/>
                            <w:sz w:val="16"/>
                            <w:szCs w:val="16"/>
                            <w:lang w:val="sv-SE"/>
                          </w:rPr>
                          <w:t>Data Traffic Channel (PDSCH)</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xEsQAAADbAAAADwAAAGRycy9kb3ducmV2LnhtbESPQWuDQBSE74H8h+UFeotrhJbGZhOK&#10;SSHtLZpLbw/3VUX3rbpbY/59t1DocZiZb5jdYTadmGh0jWUFmygGQVxa3XCl4Fq8rZ9BOI+ssbNM&#10;Cu7k4LBfLnaYanvjC025r0SAsEtRQe19n0rpypoMusj2xMH7sqNBH+RYST3iLcBNJ5M4fpIGGw4L&#10;NfaU1VS2+bdR8DhkH20/bE5o2qI9Jvx5ybp3pR5W8+sLCE+z/w//tc9aQbKF3y/hB8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SxAAAANsAAAAPAAAAAAAAAAAA&#10;AAAAAKECAABkcnMvZG93bnJldi54bWxQSwUGAAAAAAQABAD5AAAAkgM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Ee8AA&#10;AADbAAAADwAAAGRycy9kb3ducmV2LnhtbERPzYrCMBC+L/gOYQQvi6a6q0htFBWEdQ+itQ8wNGNb&#10;bCalibW+vTks7PHj+082valFR62rLCuYTiIQxLnVFRcKsuthvAThPLLG2jIpeJGDzXrwkWCs7ZMv&#10;1KW+ECGEXYwKSu+bWEqXl2TQTWxDHLibbQ36ANtC6hafIdzUchZFC2mw4tBQYkP7kvJ7+jAKTnP5&#10;O2fM3Fan359u1xXVMT0rNRr22xUIT73/F/+5f7SCr7A+fAk/QK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PEe8AAAADbAAAADwAAAAAAAAAAAAAAAACYAgAAZHJzL2Rvd25y&#10;ZXYueG1sUEsFBgAAAAAEAAQA9QAAAIUDAAAAAA==&#10;" fillcolor="white [3201]" strokecolor="black [3200]" strokeweight="1pt">
                  <v:textbox>
                    <w:txbxContent>
                      <w:p w:rsidR="001F7D4A" w:rsidRPr="006116CB" w:rsidRDefault="001F7D4A" w:rsidP="00D234EA">
                        <w:pPr>
                          <w:jc w:val="center"/>
                          <w:rPr>
                            <w:b/>
                            <w:sz w:val="16"/>
                            <w:szCs w:val="16"/>
                          </w:rPr>
                        </w:pPr>
                        <w:r w:rsidRPr="006116CB">
                          <w:rPr>
                            <w:b/>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4MMA&#10;AADbAAAADwAAAGRycy9kb3ducmV2LnhtbESP3YrCMBSE74V9h3AWvBFN/eki1SiuIKgX4lYf4NCc&#10;bcs2J6XJ1vr2RhC8HGbmG2a57kwlWmpcaVnBeBSBIM6sLjlXcL3shnMQziNrrCyTgjs5WK8+ektM&#10;tL3xD7Wpz0WAsEtQQeF9nUjpsoIMupGtiYP3axuDPsgml7rBW4CbSk6i6EsaLDksFFjTtqDsL/03&#10;Ck6xPMaMV7fR6Wzgvtu8PKRnpfqf3WYBwlPn3+FXe68VTM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h4MMAAADbAAAADwAAAAAAAAAAAAAAAACYAgAAZHJzL2Rv&#10;d25yZXYueG1sUEsFBgAAAAAEAAQA9QAAAIgDAAAAAA==&#10;" fillcolor="white [3201]" strokecolor="black [3200]" strokeweight="1pt">
                  <v:textbox>
                    <w:txbxContent>
                      <w:p w:rsidR="001F7D4A" w:rsidRPr="006116CB" w:rsidRDefault="001F7D4A" w:rsidP="00D234EA">
                        <w:pPr>
                          <w:jc w:val="center"/>
                          <w:rPr>
                            <w:b/>
                            <w:sz w:val="16"/>
                            <w:szCs w:val="16"/>
                          </w:rPr>
                        </w:pPr>
                        <w:r w:rsidRPr="006116CB">
                          <w:rPr>
                            <w:b/>
                            <w:sz w:val="16"/>
                            <w:szCs w:val="16"/>
                          </w:rPr>
                          <w:t>Determine the parameters for DL transmission (MCS, Power, PRBs, etc.) based on the CSI</w:t>
                        </w:r>
                      </w:p>
                    </w:txbxContent>
                  </v:textbox>
                </v:rect>
                <w10:anchorlock/>
              </v:group>
            </w:pict>
          </mc:Fallback>
        </mc:AlternateContent>
      </w:r>
    </w:p>
    <w:p w:rsidR="00D234EA" w:rsidRPr="009B7674" w:rsidRDefault="00D234EA" w:rsidP="00D234EA">
      <w:pPr>
        <w:pStyle w:val="Caption"/>
        <w:rPr>
          <w:b w:val="0"/>
          <w:i/>
          <w:color w:val="000000" w:themeColor="text1"/>
        </w:rPr>
      </w:pPr>
      <w:r>
        <w:rPr>
          <w:color w:val="000000" w:themeColor="text1"/>
        </w:rPr>
        <w:t>Figure 1</w:t>
      </w:r>
      <w:r w:rsidRPr="009B7674">
        <w:rPr>
          <w:color w:val="000000" w:themeColor="text1"/>
        </w:rPr>
        <w:t xml:space="preserve"> Message sequence chart between </w:t>
      </w:r>
      <w:proofErr w:type="spellStart"/>
      <w:r w:rsidRPr="009B7674">
        <w:rPr>
          <w:color w:val="000000" w:themeColor="text1"/>
        </w:rPr>
        <w:t>gNode</w:t>
      </w:r>
      <w:proofErr w:type="spellEnd"/>
      <w:r w:rsidRPr="009B7674">
        <w:rPr>
          <w:color w:val="000000" w:themeColor="text1"/>
        </w:rPr>
        <w:t xml:space="preserve"> B and UE</w:t>
      </w:r>
    </w:p>
    <w:p w:rsidR="00D234EA" w:rsidRDefault="00D234EA" w:rsidP="00D234EA">
      <w:pPr>
        <w:pStyle w:val="Heading3"/>
        <w:numPr>
          <w:ilvl w:val="0"/>
          <w:numId w:val="0"/>
        </w:numPr>
        <w:jc w:val="both"/>
        <w:rPr>
          <w:rFonts w:asciiTheme="minorHAnsi" w:hAnsiTheme="minorHAnsi"/>
          <w:color w:val="000000" w:themeColor="text1"/>
          <w:sz w:val="24"/>
        </w:rPr>
      </w:pPr>
      <w:r w:rsidRPr="00BE784F">
        <w:rPr>
          <w:rFonts w:asciiTheme="minorHAnsi" w:hAnsiTheme="minorHAnsi"/>
          <w:color w:val="000000" w:themeColor="text1"/>
          <w:sz w:val="24"/>
        </w:rPr>
        <w:t xml:space="preserve">The CSI report is sent to the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via a feedback channel either on a periodic basis or on demand based CSI i.e. aperiodic CSI reporting. The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scheduler uses this information in choosing the parameters for scheduling of this particular UE. The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sends the scheduling parameters to the UE in the downlink control channel called PDCCH. After that actual data transfer takes place from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to the UE. </w:t>
      </w:r>
    </w:p>
    <w:p w:rsidR="00D234EA" w:rsidRDefault="00D234EA" w:rsidP="00D234EA">
      <w:pPr>
        <w:rPr>
          <w:rFonts w:asciiTheme="minorHAnsi" w:hAnsiTheme="minorHAnsi"/>
          <w:color w:val="000000" w:themeColor="text1"/>
          <w:sz w:val="24"/>
        </w:rPr>
      </w:pPr>
      <w:r>
        <w:rPr>
          <w:rFonts w:asciiTheme="minorHAnsi" w:hAnsiTheme="minorHAnsi"/>
          <w:color w:val="000000" w:themeColor="text1"/>
          <w:sz w:val="24"/>
          <w:lang w:val="en-GB"/>
        </w:rPr>
        <w:t xml:space="preserve">If we use the same principle as that of LTE, </w:t>
      </w:r>
      <w:r>
        <w:rPr>
          <w:rFonts w:asciiTheme="minorHAnsi" w:hAnsiTheme="minorHAnsi"/>
          <w:color w:val="000000" w:themeColor="text1"/>
          <w:sz w:val="24"/>
        </w:rPr>
        <w:t xml:space="preserve">for reporting the CQI, the UE needs to use lookup table for example as in Table 1. </w:t>
      </w:r>
    </w:p>
    <w:p w:rsidR="00D234EA" w:rsidRPr="00CA3B47" w:rsidRDefault="00D234EA" w:rsidP="00D234EA">
      <w:pPr>
        <w:pStyle w:val="Caption"/>
        <w:keepNext/>
        <w:rPr>
          <w:b w:val="0"/>
        </w:rPr>
      </w:pPr>
      <w:r>
        <w:lastRenderedPageBreak/>
        <w:t xml:space="preserve">                                            </w:t>
      </w:r>
      <w:r w:rsidRPr="00CA3B47">
        <w:t xml:space="preserve">Table </w:t>
      </w:r>
      <w:fldSimple w:instr=" SEQ Table \* ARABIC ">
        <w:r>
          <w:rPr>
            <w:noProof/>
          </w:rPr>
          <w:t>1</w:t>
        </w:r>
      </w:fldSimple>
      <w:r w:rsidRPr="00CA3B47">
        <w:t xml:space="preserve">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D234EA" w:rsidRPr="00E9040D" w:rsidTr="001F7D4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234EA" w:rsidRPr="00E9040D" w:rsidRDefault="00D234EA" w:rsidP="001F7D4A">
            <w:pPr>
              <w:pStyle w:val="TAH"/>
            </w:pPr>
            <w:r w:rsidRPr="00E9040D">
              <w:t>efficiency</w:t>
            </w:r>
          </w:p>
        </w:tc>
      </w:tr>
      <w:tr w:rsidR="00D234EA" w:rsidRPr="00E9040D" w:rsidTr="001F7D4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out of range</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0.1523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0.2344</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0.3770</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0.6016</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0.8770</w:t>
            </w:r>
          </w:p>
        </w:tc>
      </w:tr>
      <w:tr w:rsidR="00D234EA" w:rsidRPr="00E9040D" w:rsidTr="001F7D4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Q</w:t>
            </w:r>
            <w:r w:rsidRPr="00E9040D">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1.1758</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1.4766</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1.9141</w:t>
            </w:r>
          </w:p>
        </w:tc>
      </w:tr>
      <w:tr w:rsidR="00D234EA" w:rsidRPr="00E9040D" w:rsidTr="001F7D4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2.4063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2.7305</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3.3223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3.9023</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4.5234</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5.1152</w:t>
            </w:r>
          </w:p>
        </w:tc>
      </w:tr>
      <w:tr w:rsidR="00D234EA" w:rsidRPr="00E9040D" w:rsidTr="001F7D4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234EA" w:rsidRPr="00E9040D" w:rsidRDefault="00D234EA" w:rsidP="001F7D4A">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234EA" w:rsidRPr="00E9040D" w:rsidRDefault="00D234EA" w:rsidP="001F7D4A">
            <w:pPr>
              <w:pStyle w:val="TAC"/>
            </w:pPr>
            <w:r w:rsidRPr="00E9040D">
              <w:t>5.5547</w:t>
            </w:r>
          </w:p>
        </w:tc>
      </w:tr>
    </w:tbl>
    <w:p w:rsidR="00D234EA" w:rsidRPr="00F864D6" w:rsidRDefault="00D234EA" w:rsidP="00D234EA">
      <w:pPr>
        <w:jc w:val="both"/>
        <w:rPr>
          <w:b/>
          <w:sz w:val="24"/>
          <w:szCs w:val="24"/>
          <w:lang w:val="en-GB"/>
        </w:rPr>
      </w:pPr>
    </w:p>
    <w:p w:rsidR="00D234EA" w:rsidRDefault="00D234EA" w:rsidP="00D234EA">
      <w:pPr>
        <w:jc w:val="both"/>
        <w:rPr>
          <w:rFonts w:asciiTheme="minorHAnsi" w:hAnsiTheme="minorHAnsi"/>
          <w:color w:val="000000" w:themeColor="text1"/>
          <w:sz w:val="24"/>
          <w:lang w:val="en-GB"/>
        </w:rPr>
      </w:pPr>
      <w:r>
        <w:rPr>
          <w:rFonts w:asciiTheme="minorHAnsi" w:hAnsiTheme="minorHAnsi"/>
          <w:color w:val="000000" w:themeColor="text1"/>
          <w:sz w:val="24"/>
          <w:lang w:val="en-GB"/>
        </w:rPr>
        <w:t xml:space="preserve">However, from simulations, we observed that fixing the CQI payload to 4 bits is not efficient. For example if a UE is at the cell edge, it may not use the modulation 16 QAM and 64 QAM. In this case, we can restrict the modulation schemes for that particular UE to QPSK and use less pay load size for CQI. </w:t>
      </w:r>
    </w:p>
    <w:p w:rsidR="00D234EA" w:rsidRDefault="00D234EA" w:rsidP="00D234EA">
      <w:pPr>
        <w:pStyle w:val="BodyText"/>
        <w:rPr>
          <w:sz w:val="24"/>
          <w:szCs w:val="24"/>
        </w:rPr>
      </w:pPr>
      <w:r>
        <w:rPr>
          <w:sz w:val="24"/>
          <w:szCs w:val="24"/>
        </w:rPr>
        <w:t>For example, Figure 2 shows the probability of choosing modulation (which corresponds to the CQI index) as function of downlink geometry or (long term SINR) for a NR system with 2 transmit antennas.  For link adaptation, the UE chooses a CQI index as shown in Table 1.</w:t>
      </w:r>
    </w:p>
    <w:p w:rsidR="00D234EA" w:rsidRDefault="00D234EA" w:rsidP="00D234EA">
      <w:pPr>
        <w:pStyle w:val="BodyText"/>
        <w:keepNext/>
      </w:pPr>
      <w:r>
        <w:rPr>
          <w:noProof/>
          <w:lang w:val="en-US" w:eastAsia="en-US"/>
        </w:rPr>
        <w:drawing>
          <wp:inline distT="0" distB="0" distL="0" distR="0" wp14:anchorId="13260E16" wp14:editId="35F717DE">
            <wp:extent cx="5332730" cy="394271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 xml:space="preserve">2 </w:t>
      </w:r>
      <w:r w:rsidRPr="0097419F">
        <w:t xml:space="preserve">Modulation probability as a function of geometry </w:t>
      </w:r>
      <w:proofErr w:type="gramStart"/>
      <w:r w:rsidRPr="0097419F">
        <w:t>for  2Tx</w:t>
      </w:r>
      <w:proofErr w:type="gramEnd"/>
      <w:r w:rsidRPr="0097419F">
        <w:t xml:space="preserve"> antennas</w:t>
      </w:r>
    </w:p>
    <w:p w:rsidR="00D234EA" w:rsidRDefault="00D234EA" w:rsidP="00D234EA">
      <w:pPr>
        <w:pStyle w:val="BodyText"/>
        <w:rPr>
          <w:sz w:val="24"/>
          <w:szCs w:val="24"/>
        </w:rPr>
      </w:pPr>
    </w:p>
    <w:p w:rsidR="00D234EA" w:rsidRDefault="00D234EA" w:rsidP="00D234EA">
      <w:pPr>
        <w:pStyle w:val="BodyText"/>
        <w:rPr>
          <w:sz w:val="24"/>
          <w:szCs w:val="24"/>
        </w:rPr>
      </w:pPr>
      <w:r>
        <w:rPr>
          <w:sz w:val="24"/>
          <w:szCs w:val="24"/>
        </w:rPr>
        <w:t xml:space="preserve">It can be observed that at low geometries, the probability of choosing QPSK modulation (hence a low CQI index) is very high. </w:t>
      </w:r>
      <w:proofErr w:type="gramStart"/>
      <w:r>
        <w:rPr>
          <w:sz w:val="24"/>
          <w:szCs w:val="24"/>
        </w:rPr>
        <w:t>i.e</w:t>
      </w:r>
      <w:proofErr w:type="gramEnd"/>
      <w:r>
        <w:rPr>
          <w:sz w:val="24"/>
          <w:szCs w:val="24"/>
        </w:rPr>
        <w:t xml:space="preserve">. CQI indices 1-6 in Table 1. At medium geometries probability of choosing CQI indices corresponding to the 16-QAM, </w:t>
      </w:r>
      <w:proofErr w:type="spellStart"/>
      <w:r>
        <w:rPr>
          <w:sz w:val="24"/>
          <w:szCs w:val="24"/>
        </w:rPr>
        <w:t>i.e</w:t>
      </w:r>
      <w:proofErr w:type="spellEnd"/>
      <w:r>
        <w:rPr>
          <w:sz w:val="24"/>
          <w:szCs w:val="24"/>
        </w:rPr>
        <w:t xml:space="preserve"> 7-9 in Table 1 is higher , and at high geometries, the probability of choosing CQI entries corresponding to the 64-QAM is high.</w:t>
      </w:r>
    </w:p>
    <w:p w:rsidR="00D234EA" w:rsidRPr="00F864D6" w:rsidRDefault="00D234EA" w:rsidP="00D234EA">
      <w:pPr>
        <w:pStyle w:val="BodyText"/>
        <w:rPr>
          <w:sz w:val="24"/>
          <w:szCs w:val="24"/>
        </w:rPr>
      </w:pPr>
    </w:p>
    <w:p w:rsidR="00D234EA" w:rsidRDefault="00D234EA" w:rsidP="00D234EA">
      <w:pPr>
        <w:pStyle w:val="BodyText"/>
        <w:rPr>
          <w:sz w:val="24"/>
          <w:szCs w:val="24"/>
        </w:rPr>
      </w:pPr>
      <w:r>
        <w:rPr>
          <w:sz w:val="24"/>
          <w:szCs w:val="24"/>
        </w:rPr>
        <w:t>Figure 2 shows the probability of choosing modulation (which corresponds to the CQI index) as function of downlink geometry or (long term SINR) for NR system with 4 transmit antennas.  Similar to the 2Tx antenna case, we can draw same conclusion about the modulation probability vs. geometry.</w:t>
      </w:r>
    </w:p>
    <w:p w:rsidR="00D234EA" w:rsidRDefault="00D234EA" w:rsidP="00D234EA">
      <w:pPr>
        <w:pStyle w:val="BodyText"/>
        <w:keepNext/>
      </w:pPr>
      <w:r>
        <w:rPr>
          <w:noProof/>
          <w:lang w:val="en-US" w:eastAsia="en-US"/>
        </w:rPr>
        <w:drawing>
          <wp:inline distT="0" distB="0" distL="0" distR="0" wp14:anchorId="635B6A20" wp14:editId="45033C98">
            <wp:extent cx="5332730" cy="39427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D234EA" w:rsidRPr="0097419F" w:rsidRDefault="00D234EA" w:rsidP="00D234EA">
      <w:pPr>
        <w:pStyle w:val="Caption"/>
        <w:rPr>
          <w:b w:val="0"/>
          <w:sz w:val="24"/>
          <w:szCs w:val="24"/>
        </w:rPr>
      </w:pPr>
      <w:r w:rsidRPr="0097419F">
        <w:t xml:space="preserve">Figure </w:t>
      </w:r>
      <w:r>
        <w:t>3</w:t>
      </w:r>
      <w:r w:rsidRPr="0097419F">
        <w:t xml:space="preserve"> </w:t>
      </w:r>
      <w:r>
        <w:t xml:space="preserve">Modulation </w:t>
      </w:r>
      <w:r w:rsidRPr="0097419F">
        <w:t>probability as a function of geometry for 4Tx antennas</w:t>
      </w:r>
    </w:p>
    <w:p w:rsidR="00D234EA" w:rsidRDefault="00D234EA" w:rsidP="00D234EA">
      <w:pPr>
        <w:jc w:val="both"/>
        <w:rPr>
          <w:b/>
          <w:sz w:val="24"/>
          <w:szCs w:val="24"/>
        </w:rPr>
      </w:pPr>
    </w:p>
    <w:p w:rsidR="00D234EA" w:rsidRDefault="00D234EA" w:rsidP="00D234EA">
      <w:pPr>
        <w:pStyle w:val="BodyText"/>
        <w:rPr>
          <w:sz w:val="24"/>
          <w:szCs w:val="24"/>
        </w:rPr>
      </w:pPr>
      <w:r w:rsidRPr="00F864D6">
        <w:rPr>
          <w:sz w:val="24"/>
          <w:szCs w:val="24"/>
        </w:rPr>
        <w:t xml:space="preserve">Based on the above results, instead of using feedback channel (conventional) with 4 bits of CQI, </w:t>
      </w:r>
      <w:proofErr w:type="spellStart"/>
      <w:r w:rsidRPr="00F864D6">
        <w:rPr>
          <w:sz w:val="24"/>
          <w:szCs w:val="24"/>
        </w:rPr>
        <w:t>g</w:t>
      </w:r>
      <w:r>
        <w:rPr>
          <w:sz w:val="24"/>
          <w:szCs w:val="24"/>
        </w:rPr>
        <w:t>NB</w:t>
      </w:r>
      <w:proofErr w:type="spellEnd"/>
      <w:r>
        <w:rPr>
          <w:sz w:val="24"/>
          <w:szCs w:val="24"/>
        </w:rPr>
        <w:t xml:space="preserve"> can restrict a particular</w:t>
      </w:r>
      <w:r w:rsidRPr="00F864D6">
        <w:rPr>
          <w:sz w:val="24"/>
          <w:szCs w:val="24"/>
        </w:rPr>
        <w:t xml:space="preserve"> UE to choose only a subset of CQI indices, thereby reducing the number of bits to represent the CQI. Hence the UE can send a compact feedback for transmitting CSI. </w:t>
      </w:r>
    </w:p>
    <w:p w:rsidR="00D234EA" w:rsidRPr="00F864D6" w:rsidRDefault="00D234EA" w:rsidP="00D234EA">
      <w:pPr>
        <w:pStyle w:val="BodyText"/>
        <w:rPr>
          <w:sz w:val="24"/>
          <w:szCs w:val="24"/>
        </w:rPr>
      </w:pPr>
      <w:r>
        <w:rPr>
          <w:sz w:val="24"/>
          <w:szCs w:val="24"/>
        </w:rPr>
        <w:t>Similar procedures can be used to restrict the MCS for downlink control channel. Based on above observation, we propose</w:t>
      </w:r>
    </w:p>
    <w:p w:rsidR="00D234EA" w:rsidRDefault="00711AFE" w:rsidP="00D234EA">
      <w:pPr>
        <w:jc w:val="both"/>
        <w:rPr>
          <w:b/>
          <w:sz w:val="24"/>
          <w:szCs w:val="24"/>
        </w:rPr>
      </w:pPr>
      <w:r>
        <w:rPr>
          <w:b/>
          <w:sz w:val="24"/>
          <w:szCs w:val="24"/>
        </w:rPr>
        <w:t>Proposal 2</w:t>
      </w:r>
      <w:r w:rsidR="00D234EA" w:rsidRPr="005C1BF7">
        <w:rPr>
          <w:b/>
          <w:sz w:val="24"/>
          <w:szCs w:val="24"/>
        </w:rPr>
        <w:t xml:space="preserve">: </w:t>
      </w:r>
      <w:r w:rsidR="00D234EA">
        <w:rPr>
          <w:b/>
          <w:sz w:val="24"/>
          <w:szCs w:val="24"/>
        </w:rPr>
        <w:t xml:space="preserve"> UE specific adaptive CQI/MCS pay load sizes should be taken into consideration when indicating CQI and </w:t>
      </w:r>
      <w:r w:rsidR="00110E2E">
        <w:rPr>
          <w:b/>
          <w:sz w:val="24"/>
          <w:szCs w:val="24"/>
        </w:rPr>
        <w:t>MCS,</w:t>
      </w:r>
      <w:r w:rsidR="007779D9">
        <w:rPr>
          <w:b/>
          <w:sz w:val="24"/>
          <w:szCs w:val="24"/>
        </w:rPr>
        <w:t xml:space="preserve"> i.e. CQI/MCS subset </w:t>
      </w:r>
      <w:r w:rsidR="00110E2E">
        <w:rPr>
          <w:b/>
          <w:sz w:val="24"/>
          <w:szCs w:val="24"/>
        </w:rPr>
        <w:t>restriction should</w:t>
      </w:r>
      <w:r w:rsidR="007779D9">
        <w:rPr>
          <w:b/>
          <w:sz w:val="24"/>
          <w:szCs w:val="24"/>
        </w:rPr>
        <w:t xml:space="preserve"> be used </w:t>
      </w:r>
    </w:p>
    <w:p w:rsidR="009C0834" w:rsidRPr="00D234EA" w:rsidRDefault="009C0834" w:rsidP="009C0834"/>
    <w:p w:rsidR="009C0834" w:rsidRPr="009C0834" w:rsidRDefault="009C0834" w:rsidP="009C0834">
      <w:pPr>
        <w:rPr>
          <w:lang w:val="en-GB"/>
        </w:rPr>
      </w:pPr>
    </w:p>
    <w:p w:rsidR="000462AB" w:rsidRDefault="000462AB" w:rsidP="005C7FD4">
      <w:pPr>
        <w:rPr>
          <w:b/>
          <w:sz w:val="24"/>
          <w:szCs w:val="24"/>
        </w:rPr>
      </w:pPr>
    </w:p>
    <w:p w:rsidR="006E7E37" w:rsidRDefault="00152AB0" w:rsidP="000118EB">
      <w:pPr>
        <w:jc w:val="both"/>
        <w:rPr>
          <w:b/>
          <w:sz w:val="24"/>
          <w:szCs w:val="24"/>
        </w:rPr>
      </w:pPr>
      <w:r>
        <w:rPr>
          <w:b/>
          <w:sz w:val="24"/>
          <w:szCs w:val="24"/>
        </w:rPr>
        <w:t xml:space="preserve">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52AB0">
        <w:rPr>
          <w:sz w:val="24"/>
          <w:szCs w:val="24"/>
          <w:lang w:val="en-GB"/>
        </w:rPr>
        <w:t xml:space="preserve"> described our 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110E2E" w:rsidRDefault="00110E2E" w:rsidP="00711AFE">
      <w:pPr>
        <w:pStyle w:val="RAN1bullet1"/>
        <w:rPr>
          <w:b/>
          <w:sz w:val="24"/>
        </w:rPr>
      </w:pPr>
      <w:bookmarkStart w:id="9" w:name="_Ref450342757"/>
      <w:bookmarkEnd w:id="1"/>
      <w:r>
        <w:rPr>
          <w:b/>
          <w:sz w:val="24"/>
        </w:rPr>
        <w:t>Proposal 1</w:t>
      </w:r>
      <w:r w:rsidRPr="005C1BF7">
        <w:rPr>
          <w:b/>
          <w:sz w:val="24"/>
        </w:rPr>
        <w:t xml:space="preserve">: </w:t>
      </w:r>
      <w:r w:rsidR="00711AFE">
        <w:rPr>
          <w:b/>
          <w:sz w:val="24"/>
        </w:rPr>
        <w:t xml:space="preserve">  The following text in sub-band differential CQI should be changed in TS 38.214</w:t>
      </w:r>
    </w:p>
    <w:p w:rsidR="00711AFE" w:rsidRDefault="00711AFE" w:rsidP="00711AFE">
      <w:pPr>
        <w:rPr>
          <w:lang w:val="en-GB"/>
        </w:rPr>
      </w:pPr>
    </w:p>
    <w:tbl>
      <w:tblPr>
        <w:tblStyle w:val="TableGrid"/>
        <w:tblW w:w="0" w:type="auto"/>
        <w:tblLook w:val="04A0" w:firstRow="1" w:lastRow="0" w:firstColumn="1" w:lastColumn="0" w:noHBand="0" w:noVBand="1"/>
      </w:tblPr>
      <w:tblGrid>
        <w:gridCol w:w="9962"/>
      </w:tblGrid>
      <w:tr w:rsidR="00711AFE" w:rsidTr="00B57F6C">
        <w:tc>
          <w:tcPr>
            <w:tcW w:w="9962" w:type="dxa"/>
          </w:tcPr>
          <w:p w:rsidR="00711AFE" w:rsidRPr="0048482F" w:rsidRDefault="00711AFE" w:rsidP="00B57F6C">
            <w:r w:rsidRPr="0048482F">
              <w:t xml:space="preserve">For each sub-band index </w:t>
            </w:r>
            <w:r w:rsidRPr="0048482F">
              <w:rPr>
                <w:i/>
              </w:rPr>
              <w:t>s,</w:t>
            </w:r>
            <w:r w:rsidRPr="0048482F">
              <w:t xml:space="preserve"> a 2-bit sub-band differential CQI is defined as:</w:t>
            </w:r>
          </w:p>
          <w:p w:rsidR="00711AFE" w:rsidRPr="0048482F" w:rsidRDefault="00711AFE" w:rsidP="00B57F6C">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rsidR="00711AFE" w:rsidRPr="0048482F" w:rsidRDefault="00711AFE" w:rsidP="00B57F6C">
            <w:r w:rsidRPr="0048482F">
              <w:t>The mapping from the 2-bit wideband differential CQI values to the offset level is shown in Table 5.2.2.1-1</w:t>
            </w:r>
          </w:p>
          <w:p w:rsidR="00711AFE" w:rsidRPr="0048482F" w:rsidRDefault="00711AFE" w:rsidP="00B57F6C">
            <w:pPr>
              <w:pStyle w:val="TH"/>
              <w:rPr>
                <w:color w:val="000000"/>
              </w:rPr>
            </w:pPr>
            <w:r w:rsidRPr="0048482F">
              <w:rPr>
                <w:color w:val="000000"/>
              </w:rPr>
              <w:t xml:space="preserve">Table 5.2.2.1-1: Mapping </w:t>
            </w:r>
            <w:r w:rsidRPr="00F971ED">
              <w:rPr>
                <w:strike/>
                <w:color w:val="000000"/>
              </w:rPr>
              <w:t>spatial</w:t>
            </w:r>
            <w:r w:rsidRPr="0048482F">
              <w:rPr>
                <w:color w:val="000000"/>
              </w:rPr>
              <w:t xml:space="preserve"> </w:t>
            </w:r>
            <w:r w:rsidRPr="00F971ED">
              <w:rPr>
                <w:color w:val="FF0000"/>
              </w:rPr>
              <w:t>sub-band</w:t>
            </w:r>
            <w:r w:rsidRPr="00F971ED">
              <w:rPr>
                <w:color w:val="FF0000"/>
                <w:sz w:val="16"/>
              </w:rPr>
              <w:t xml:space="preserve">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711AFE" w:rsidRPr="0048482F" w:rsidTr="00B57F6C">
              <w:tc>
                <w:tcPr>
                  <w:tcW w:w="3260" w:type="dxa"/>
                  <w:shd w:val="clear" w:color="auto" w:fill="auto"/>
                </w:tcPr>
                <w:p w:rsidR="00711AFE" w:rsidRPr="0048482F" w:rsidRDefault="00711AFE" w:rsidP="00B57F6C">
                  <w:pPr>
                    <w:pStyle w:val="text0"/>
                    <w:spacing w:after="0"/>
                    <w:jc w:val="center"/>
                    <w:rPr>
                      <w:color w:val="000000"/>
                      <w:sz w:val="20"/>
                    </w:rPr>
                  </w:pPr>
                  <w:r w:rsidRPr="00F971ED">
                    <w:rPr>
                      <w:strike/>
                      <w:color w:val="000000"/>
                    </w:rPr>
                    <w:t>spatial</w:t>
                  </w:r>
                  <w:r w:rsidRPr="0048482F">
                    <w:rPr>
                      <w:color w:val="000000"/>
                    </w:rPr>
                    <w:t xml:space="preserve"> </w:t>
                  </w:r>
                  <w:r w:rsidRPr="00F971ED">
                    <w:rPr>
                      <w:color w:val="FF0000"/>
                      <w:sz w:val="20"/>
                    </w:rPr>
                    <w:t>sub-band</w:t>
                  </w:r>
                  <w:r w:rsidRPr="00F971ED">
                    <w:rPr>
                      <w:color w:val="FF0000"/>
                      <w:sz w:val="16"/>
                    </w:rPr>
                    <w:t xml:space="preserve"> </w:t>
                  </w:r>
                  <w:r w:rsidRPr="0048482F">
                    <w:rPr>
                      <w:color w:val="000000"/>
                      <w:sz w:val="20"/>
                    </w:rPr>
                    <w:t>differential CQI value</w:t>
                  </w:r>
                </w:p>
              </w:tc>
              <w:tc>
                <w:tcPr>
                  <w:tcW w:w="3118" w:type="dxa"/>
                  <w:shd w:val="clear" w:color="auto" w:fill="auto"/>
                </w:tcPr>
                <w:p w:rsidR="00711AFE" w:rsidRPr="0048482F" w:rsidRDefault="00711AFE" w:rsidP="00B57F6C">
                  <w:pPr>
                    <w:pStyle w:val="text0"/>
                    <w:spacing w:after="0"/>
                    <w:jc w:val="center"/>
                    <w:rPr>
                      <w:color w:val="000000"/>
                      <w:sz w:val="20"/>
                    </w:rPr>
                  </w:pPr>
                  <w:r w:rsidRPr="00F971ED">
                    <w:rPr>
                      <w:color w:val="FF0000"/>
                      <w:sz w:val="20"/>
                    </w:rPr>
                    <w:t>sub-band</w:t>
                  </w:r>
                  <w:r w:rsidRPr="00F971ED">
                    <w:rPr>
                      <w:color w:val="FF0000"/>
                      <w:sz w:val="16"/>
                    </w:rPr>
                    <w:t xml:space="preserve"> </w:t>
                  </w:r>
                  <w:r w:rsidRPr="0048482F">
                    <w:rPr>
                      <w:color w:val="000000"/>
                      <w:sz w:val="20"/>
                    </w:rPr>
                    <w:t>Offset level</w:t>
                  </w:r>
                </w:p>
              </w:tc>
            </w:tr>
            <w:tr w:rsidR="00711AFE" w:rsidRPr="0048482F" w:rsidTr="00B57F6C">
              <w:tc>
                <w:tcPr>
                  <w:tcW w:w="3260" w:type="dxa"/>
                  <w:shd w:val="clear" w:color="auto" w:fill="auto"/>
                </w:tcPr>
                <w:p w:rsidR="00711AFE" w:rsidRPr="0048482F" w:rsidRDefault="00711AFE" w:rsidP="00B57F6C">
                  <w:pPr>
                    <w:pStyle w:val="text0"/>
                    <w:spacing w:after="0"/>
                    <w:jc w:val="center"/>
                    <w:rPr>
                      <w:color w:val="000000"/>
                      <w:sz w:val="20"/>
                    </w:rPr>
                  </w:pPr>
                  <w:r w:rsidRPr="0048482F">
                    <w:rPr>
                      <w:color w:val="000000"/>
                      <w:sz w:val="20"/>
                    </w:rPr>
                    <w:t>0</w:t>
                  </w:r>
                </w:p>
              </w:tc>
              <w:tc>
                <w:tcPr>
                  <w:tcW w:w="3118" w:type="dxa"/>
                  <w:shd w:val="clear" w:color="auto" w:fill="auto"/>
                </w:tcPr>
                <w:p w:rsidR="00711AFE" w:rsidRPr="0048482F" w:rsidRDefault="00711AFE" w:rsidP="00B57F6C">
                  <w:pPr>
                    <w:pStyle w:val="text0"/>
                    <w:spacing w:after="0"/>
                    <w:jc w:val="center"/>
                    <w:rPr>
                      <w:color w:val="000000"/>
                      <w:sz w:val="20"/>
                    </w:rPr>
                  </w:pPr>
                  <w:r w:rsidRPr="0048482F">
                    <w:rPr>
                      <w:color w:val="000000"/>
                      <w:sz w:val="20"/>
                    </w:rPr>
                    <w:t>0</w:t>
                  </w:r>
                </w:p>
              </w:tc>
            </w:tr>
            <w:tr w:rsidR="00711AFE" w:rsidRPr="0048482F" w:rsidTr="00B57F6C">
              <w:tc>
                <w:tcPr>
                  <w:tcW w:w="3260" w:type="dxa"/>
                  <w:shd w:val="clear" w:color="auto" w:fill="auto"/>
                </w:tcPr>
                <w:p w:rsidR="00711AFE" w:rsidRPr="0048482F" w:rsidRDefault="00711AFE" w:rsidP="00B57F6C">
                  <w:pPr>
                    <w:pStyle w:val="text0"/>
                    <w:spacing w:after="0"/>
                    <w:jc w:val="center"/>
                    <w:rPr>
                      <w:color w:val="000000"/>
                      <w:sz w:val="20"/>
                    </w:rPr>
                  </w:pPr>
                  <w:r w:rsidRPr="0048482F">
                    <w:rPr>
                      <w:color w:val="000000"/>
                      <w:sz w:val="20"/>
                    </w:rPr>
                    <w:t>1</w:t>
                  </w:r>
                </w:p>
              </w:tc>
              <w:tc>
                <w:tcPr>
                  <w:tcW w:w="3118" w:type="dxa"/>
                  <w:shd w:val="clear" w:color="auto" w:fill="auto"/>
                </w:tcPr>
                <w:p w:rsidR="00711AFE" w:rsidRPr="0048482F" w:rsidRDefault="00711AFE" w:rsidP="00B57F6C">
                  <w:pPr>
                    <w:pStyle w:val="text0"/>
                    <w:spacing w:after="0"/>
                    <w:jc w:val="center"/>
                    <w:rPr>
                      <w:color w:val="000000"/>
                      <w:sz w:val="20"/>
                    </w:rPr>
                  </w:pPr>
                  <w:r w:rsidRPr="0048482F">
                    <w:rPr>
                      <w:color w:val="000000"/>
                      <w:sz w:val="20"/>
                    </w:rPr>
                    <w:t>1</w:t>
                  </w:r>
                </w:p>
              </w:tc>
            </w:tr>
            <w:tr w:rsidR="00711AFE" w:rsidRPr="0048482F" w:rsidTr="00B57F6C">
              <w:tc>
                <w:tcPr>
                  <w:tcW w:w="3260" w:type="dxa"/>
                  <w:shd w:val="clear" w:color="auto" w:fill="auto"/>
                </w:tcPr>
                <w:p w:rsidR="00711AFE" w:rsidRPr="0048482F" w:rsidRDefault="00711AFE" w:rsidP="00B57F6C">
                  <w:pPr>
                    <w:pStyle w:val="text0"/>
                    <w:spacing w:after="0"/>
                    <w:jc w:val="center"/>
                    <w:rPr>
                      <w:color w:val="000000"/>
                      <w:sz w:val="20"/>
                    </w:rPr>
                  </w:pPr>
                  <w:r w:rsidRPr="0048482F">
                    <w:rPr>
                      <w:color w:val="000000"/>
                      <w:sz w:val="20"/>
                    </w:rPr>
                    <w:t>2</w:t>
                  </w:r>
                </w:p>
              </w:tc>
              <w:tc>
                <w:tcPr>
                  <w:tcW w:w="3118" w:type="dxa"/>
                  <w:shd w:val="clear" w:color="auto" w:fill="auto"/>
                </w:tcPr>
                <w:p w:rsidR="00711AFE" w:rsidRPr="0048482F" w:rsidRDefault="00711AFE" w:rsidP="00B57F6C">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711AFE" w:rsidRPr="0048482F" w:rsidTr="00B57F6C">
              <w:tc>
                <w:tcPr>
                  <w:tcW w:w="3260" w:type="dxa"/>
                  <w:shd w:val="clear" w:color="auto" w:fill="auto"/>
                </w:tcPr>
                <w:p w:rsidR="00711AFE" w:rsidRPr="0048482F" w:rsidRDefault="00711AFE" w:rsidP="00B57F6C">
                  <w:pPr>
                    <w:pStyle w:val="text0"/>
                    <w:spacing w:after="0"/>
                    <w:jc w:val="center"/>
                    <w:rPr>
                      <w:color w:val="000000"/>
                      <w:sz w:val="20"/>
                    </w:rPr>
                  </w:pPr>
                  <w:r w:rsidRPr="0048482F">
                    <w:rPr>
                      <w:color w:val="000000"/>
                      <w:sz w:val="20"/>
                    </w:rPr>
                    <w:t>3</w:t>
                  </w:r>
                </w:p>
              </w:tc>
              <w:tc>
                <w:tcPr>
                  <w:tcW w:w="3118" w:type="dxa"/>
                  <w:shd w:val="clear" w:color="auto" w:fill="auto"/>
                </w:tcPr>
                <w:p w:rsidR="00711AFE" w:rsidRPr="0048482F" w:rsidRDefault="00711AFE" w:rsidP="00B57F6C">
                  <w:pPr>
                    <w:pStyle w:val="text0"/>
                    <w:spacing w:after="0"/>
                    <w:jc w:val="center"/>
                    <w:rPr>
                      <w:color w:val="000000"/>
                      <w:sz w:val="20"/>
                    </w:rPr>
                  </w:pPr>
                  <w:r w:rsidRPr="0048482F">
                    <w:rPr>
                      <w:rFonts w:cs="Times"/>
                      <w:color w:val="000000"/>
                      <w:sz w:val="20"/>
                    </w:rPr>
                    <w:t>≤</w:t>
                  </w:r>
                  <w:r w:rsidRPr="0048482F">
                    <w:rPr>
                      <w:color w:val="000000"/>
                      <w:sz w:val="20"/>
                    </w:rPr>
                    <w:t>-1</w:t>
                  </w:r>
                </w:p>
              </w:tc>
            </w:tr>
          </w:tbl>
          <w:p w:rsidR="00711AFE" w:rsidRDefault="00711AFE" w:rsidP="00B57F6C">
            <w:pPr>
              <w:rPr>
                <w:lang w:val="en-GB"/>
              </w:rPr>
            </w:pPr>
          </w:p>
        </w:tc>
      </w:tr>
    </w:tbl>
    <w:p w:rsidR="00711AFE" w:rsidRPr="00DB491C" w:rsidRDefault="00711AFE" w:rsidP="00711AFE">
      <w:pPr>
        <w:rPr>
          <w:lang w:val="en-GB"/>
        </w:rPr>
      </w:pPr>
    </w:p>
    <w:p w:rsidR="00711AFE" w:rsidRDefault="00711AFE" w:rsidP="00711AFE">
      <w:pPr>
        <w:pStyle w:val="RAN1bullet1"/>
        <w:rPr>
          <w:b/>
          <w:sz w:val="24"/>
        </w:rPr>
      </w:pPr>
    </w:p>
    <w:p w:rsidR="00711AFE" w:rsidRDefault="00711AFE" w:rsidP="00711AFE">
      <w:pPr>
        <w:pStyle w:val="RAN1bullet1"/>
        <w:rPr>
          <w:b/>
          <w:sz w:val="24"/>
        </w:rPr>
      </w:pPr>
    </w:p>
    <w:p w:rsidR="00110E2E" w:rsidRDefault="00110E2E" w:rsidP="00110E2E">
      <w:pPr>
        <w:jc w:val="both"/>
        <w:rPr>
          <w:b/>
          <w:sz w:val="24"/>
          <w:szCs w:val="24"/>
        </w:rPr>
      </w:pPr>
      <w:r>
        <w:rPr>
          <w:b/>
          <w:sz w:val="24"/>
          <w:szCs w:val="24"/>
        </w:rPr>
        <w:t>P</w:t>
      </w:r>
      <w:r w:rsidR="00711AFE">
        <w:rPr>
          <w:b/>
          <w:sz w:val="24"/>
          <w:szCs w:val="24"/>
        </w:rPr>
        <w:t>roposal 2</w:t>
      </w:r>
      <w:r w:rsidRPr="005C1BF7">
        <w:rPr>
          <w:b/>
          <w:sz w:val="24"/>
          <w:szCs w:val="24"/>
        </w:rPr>
        <w:t xml:space="preserve">: </w:t>
      </w:r>
      <w:r>
        <w:rPr>
          <w:b/>
          <w:sz w:val="24"/>
          <w:szCs w:val="24"/>
        </w:rPr>
        <w:t xml:space="preserve"> UE specific adaptive CQI/MCS pay load sizes should be taken into consideration when indicating CQI and MCS, i.e. CQI/MCS subset restriction should be used </w:t>
      </w:r>
    </w:p>
    <w:p w:rsidR="004721FB" w:rsidRDefault="004721FB" w:rsidP="004721FB">
      <w:pPr>
        <w:pStyle w:val="Heading1"/>
      </w:pPr>
      <w:r>
        <w:t>References</w:t>
      </w:r>
    </w:p>
    <w:p w:rsidR="004721FB" w:rsidRPr="00EC41B0" w:rsidRDefault="004721FB" w:rsidP="004721FB">
      <w:pPr>
        <w:jc w:val="both"/>
        <w:rPr>
          <w:sz w:val="24"/>
          <w:szCs w:val="24"/>
          <w:lang w:val="en-GB"/>
        </w:rPr>
      </w:pPr>
      <w:r>
        <w:rPr>
          <w:sz w:val="24"/>
          <w:szCs w:val="24"/>
          <w:lang w:val="en-GB"/>
        </w:rPr>
        <w:t>[1]. 38.214</w:t>
      </w:r>
      <w:r w:rsidRPr="00EC41B0">
        <w:rPr>
          <w:sz w:val="24"/>
          <w:szCs w:val="24"/>
          <w:lang w:val="en-GB"/>
        </w:rPr>
        <w:t>_v2.0.0, NR, Physi</w:t>
      </w:r>
      <w:r w:rsidR="00C709AA">
        <w:rPr>
          <w:sz w:val="24"/>
          <w:szCs w:val="24"/>
          <w:lang w:val="en-GB"/>
        </w:rPr>
        <w:t>cal layer procedures for data</w:t>
      </w:r>
      <w:r w:rsidRPr="00EC41B0">
        <w:rPr>
          <w:sz w:val="24"/>
          <w:szCs w:val="24"/>
          <w:lang w:val="en-GB"/>
        </w:rPr>
        <w:t>.</w:t>
      </w:r>
    </w:p>
    <w:p w:rsidR="004721FB" w:rsidRPr="004721FB" w:rsidRDefault="004721FB" w:rsidP="00110E2E">
      <w:pPr>
        <w:jc w:val="both"/>
        <w:rPr>
          <w:b/>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D31" w:rsidRDefault="001A1D31" w:rsidP="00A03DF3">
      <w:pPr>
        <w:spacing w:after="0"/>
      </w:pPr>
      <w:r>
        <w:separator/>
      </w:r>
    </w:p>
  </w:endnote>
  <w:endnote w:type="continuationSeparator" w:id="0">
    <w:p w:rsidR="001A1D31" w:rsidRDefault="001A1D3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27BF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7BF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D31" w:rsidRDefault="001A1D31" w:rsidP="00A03DF3">
      <w:pPr>
        <w:spacing w:after="0"/>
      </w:pPr>
      <w:r>
        <w:separator/>
      </w:r>
    </w:p>
  </w:footnote>
  <w:footnote w:type="continuationSeparator" w:id="0">
    <w:p w:rsidR="001A1D31" w:rsidRDefault="001A1D3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2"/>
  </w:num>
  <w:num w:numId="8">
    <w:abstractNumId w:val="15"/>
  </w:num>
  <w:num w:numId="9">
    <w:abstractNumId w:val="8"/>
  </w:num>
  <w:num w:numId="10">
    <w:abstractNumId w:val="11"/>
  </w:num>
  <w:num w:numId="11">
    <w:abstractNumId w:val="9"/>
  </w:num>
  <w:num w:numId="12">
    <w:abstractNumId w:val="16"/>
  </w:num>
  <w:num w:numId="13">
    <w:abstractNumId w:val="10"/>
  </w:num>
  <w:num w:numId="14">
    <w:abstractNumId w:val="13"/>
  </w:num>
  <w:num w:numId="15">
    <w:abstractNumId w:val="14"/>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D0C32"/>
    <w:rsid w:val="000E3E8D"/>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F06AF"/>
    <w:rsid w:val="002F500A"/>
    <w:rsid w:val="002F70E1"/>
    <w:rsid w:val="00304012"/>
    <w:rsid w:val="0030433D"/>
    <w:rsid w:val="003109E6"/>
    <w:rsid w:val="003149D8"/>
    <w:rsid w:val="00316418"/>
    <w:rsid w:val="00334E9F"/>
    <w:rsid w:val="00341D34"/>
    <w:rsid w:val="0035783D"/>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1290E"/>
    <w:rsid w:val="0062050D"/>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6647"/>
    <w:rsid w:val="006C6FB2"/>
    <w:rsid w:val="006D3D50"/>
    <w:rsid w:val="006E669E"/>
    <w:rsid w:val="006E71FE"/>
    <w:rsid w:val="006E7E37"/>
    <w:rsid w:val="006F5982"/>
    <w:rsid w:val="00706C10"/>
    <w:rsid w:val="00710907"/>
    <w:rsid w:val="00711AFE"/>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6B66"/>
    <w:rsid w:val="007F11C2"/>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4C93"/>
    <w:rsid w:val="008C5528"/>
    <w:rsid w:val="008C7323"/>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A212B"/>
    <w:rsid w:val="009A70F5"/>
    <w:rsid w:val="009B12B4"/>
    <w:rsid w:val="009B136D"/>
    <w:rsid w:val="009B34F4"/>
    <w:rsid w:val="009B679A"/>
    <w:rsid w:val="009B67DE"/>
    <w:rsid w:val="009C0834"/>
    <w:rsid w:val="009C0E95"/>
    <w:rsid w:val="009F4239"/>
    <w:rsid w:val="00A03DF3"/>
    <w:rsid w:val="00A06DD8"/>
    <w:rsid w:val="00A13339"/>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2AF2"/>
    <w:rsid w:val="00B35C08"/>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E32F5"/>
    <w:rsid w:val="00BE6C2E"/>
    <w:rsid w:val="00BF2B2D"/>
    <w:rsid w:val="00C00A29"/>
    <w:rsid w:val="00C112D0"/>
    <w:rsid w:val="00C152E3"/>
    <w:rsid w:val="00C1607A"/>
    <w:rsid w:val="00C27BF9"/>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81AE8"/>
    <w:rsid w:val="00D913DA"/>
    <w:rsid w:val="00DA14A6"/>
    <w:rsid w:val="00DA67F5"/>
    <w:rsid w:val="00DA7B6D"/>
    <w:rsid w:val="00DB432F"/>
    <w:rsid w:val="00DB491C"/>
    <w:rsid w:val="00DB6035"/>
    <w:rsid w:val="00DC29F0"/>
    <w:rsid w:val="00DE5572"/>
    <w:rsid w:val="00DF21E7"/>
    <w:rsid w:val="00DF7C58"/>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E1033-ED91-4A04-BD97-0879B1CA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4851</TotalTime>
  <Pages>5</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443</cp:revision>
  <dcterms:created xsi:type="dcterms:W3CDTF">2016-08-12T11:37:00Z</dcterms:created>
  <dcterms:modified xsi:type="dcterms:W3CDTF">2018-01-12T20:15:00Z</dcterms:modified>
</cp:coreProperties>
</file>